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黑体" w:hAnsi="黑体" w:eastAsia="黑体" w:cs="黑体"/>
          <w:b w:val="0"/>
          <w:bCs/>
          <w:sz w:val="44"/>
          <w:szCs w:val="44"/>
        </w:rPr>
      </w:pPr>
      <w:r>
        <w:rPr>
          <w:rFonts w:hint="eastAsia" w:ascii="黑体" w:hAnsi="黑体" w:eastAsia="黑体" w:cs="黑体"/>
          <w:b w:val="0"/>
          <w:bCs/>
          <w:sz w:val="44"/>
          <w:szCs w:val="44"/>
          <w:lang w:val="en-US" w:eastAsia="zh-CN"/>
        </w:rPr>
        <w:t xml:space="preserve">第十四讲 </w:t>
      </w:r>
      <w:r>
        <w:rPr>
          <w:rFonts w:hint="eastAsia" w:ascii="黑体" w:hAnsi="黑体" w:eastAsia="黑体" w:cs="黑体"/>
          <w:b w:val="0"/>
          <w:bCs/>
          <w:sz w:val="44"/>
          <w:szCs w:val="44"/>
        </w:rPr>
        <w:t>静脉血栓栓塞症</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黑体" w:hAnsi="黑体" w:eastAsia="黑体" w:cs="黑体"/>
          <w:b w:val="0"/>
          <w:bCs/>
          <w:sz w:val="44"/>
          <w:szCs w:val="44"/>
        </w:rPr>
      </w:pPr>
      <w:r>
        <w:rPr>
          <w:rFonts w:hint="eastAsia" w:ascii="黑体" w:hAnsi="黑体" w:eastAsia="黑体" w:cs="黑体"/>
          <w:b w:val="0"/>
          <w:bCs/>
          <w:sz w:val="44"/>
          <w:szCs w:val="44"/>
        </w:rPr>
        <w:t>（VTE）的治疗与护理</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福建中医药大学附属第二人民医院</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林</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兰</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b w:val="0"/>
          <w:bCs/>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一</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rPr>
        <w:t>静脉血栓栓塞症（VTE）的定义</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静脉血栓栓塞症（VTE））是住院患者的常见并发症和重要死亡原因之一,它是包括深静脉血栓形成( deep venous</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thrombosis,DVT)和肺血栓栓塞症(pulmonary</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thromboembolism，PTE)在内的一组血栓栓塞性疾病，是遗传性和获得性等多种危险因素共同作用的全身性疾病。DVT是指血液在深静脉內异常凝结，导致静脉回流障碍的疾病。好发于下肢深静脉，可以无症状或出现患肢肿胀、局部疼痛、压痛、发热和浅静脉曲张、股青肿和股白肿等。发生于腘静脉以上的近端DVT是PTE栓子的重要来源。PTE是指来自静脉系统或右心的血栓阻塞肺动脉或其分支所致疾病，可导致呼吸循环功能障碍，常表现为呼吸困难、胸闷、胸痛，严重时可发生低血压休克甚至猝死。静脉血栓形成的主要原因是</w:t>
      </w:r>
      <w:r>
        <w:rPr>
          <w:rFonts w:hint="eastAsia" w:ascii="仿宋_GB2312" w:hAnsi="仿宋_GB2312" w:eastAsia="仿宋_GB2312" w:cs="仿宋_GB2312"/>
          <w:bCs/>
          <w:sz w:val="32"/>
          <w:szCs w:val="32"/>
        </w:rPr>
        <w:t>静脉淤血</w:t>
      </w:r>
      <w:r>
        <w:rPr>
          <w:rFonts w:hint="eastAsia" w:ascii="仿宋_GB2312" w:hAnsi="仿宋_GB2312" w:eastAsia="仿宋_GB2312" w:cs="仿宋_GB2312"/>
          <w:sz w:val="32"/>
          <w:szCs w:val="32"/>
        </w:rPr>
        <w:t>、</w:t>
      </w:r>
      <w:r>
        <w:rPr>
          <w:rFonts w:hint="eastAsia" w:ascii="仿宋_GB2312" w:hAnsi="仿宋_GB2312" w:eastAsia="仿宋_GB2312" w:cs="仿宋_GB2312"/>
          <w:bCs/>
          <w:sz w:val="32"/>
          <w:szCs w:val="32"/>
        </w:rPr>
        <w:t>血流减慢、高凝状态、静脉壁损伤。</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val="0"/>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bCs w:val="0"/>
          <w:sz w:val="32"/>
          <w:szCs w:val="32"/>
        </w:rPr>
        <w:t>二</w:t>
      </w:r>
      <w:r>
        <w:rPr>
          <w:rFonts w:hint="eastAsia" w:ascii="仿宋_GB2312" w:hAnsi="仿宋_GB2312" w:eastAsia="仿宋_GB2312" w:cs="仿宋_GB2312"/>
          <w:b/>
          <w:bCs w:val="0"/>
          <w:sz w:val="32"/>
          <w:szCs w:val="32"/>
          <w:lang w:eastAsia="zh-CN"/>
        </w:rPr>
        <w:t>、</w:t>
      </w:r>
      <w:r>
        <w:rPr>
          <w:rFonts w:hint="eastAsia" w:ascii="仿宋_GB2312" w:hAnsi="仿宋_GB2312" w:eastAsia="仿宋_GB2312" w:cs="仿宋_GB2312"/>
          <w:b/>
          <w:bCs w:val="0"/>
          <w:sz w:val="32"/>
          <w:szCs w:val="32"/>
        </w:rPr>
        <w:t>静脉血栓栓塞症（VTE）的预防</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bCs w:val="0"/>
          <w:sz w:val="32"/>
          <w:szCs w:val="32"/>
        </w:rPr>
        <w:t>（一）合理使用风险评估工具</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推荐使用 Caprini模型对普通外科患者进行VTE风险评估（表1）:首先计算患者的风险评分，然后判断患者的风险等级（表2）。Caprini模型是目前国际应用最广泛的VTE风险评估模型。</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（二）预防策略</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长期卧床患者定时进行下肢肢体的主动或被动活动，可协助患者做双下肢及足背屈伸运动，更换体位，一次∕1-2h。抬高患肢，禁止腘窝及小腿单独垫枕，鼓励患者进行深呼吸及咳嗽。指导术后患者早期下床活动，对低危及以上风险的普通外科患者进行VTE预防，动态评估患者的风险及出血风险，选择一种机械和（或）种药物预防措施，并及时调整预防策略。一般手术患者推荐预防7-14d或直至出院，对腹盆腔恶性肿瘤等VTE高危患者，推荐使用低分子肝素预防4周。若不能耐受低分子肝素或普通肝素，可考虑使用磺达肝钠或阿司匹林预防。对已确诊下肢DVT的普通外科患者，不推荐将下腔静脉滤器置入作为围手术期常规预防措施，（表3）。</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  血栓危险因素评估</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p>
    <w:tbl>
      <w:tblPr>
        <w:tblStyle w:val="5"/>
        <w:tblpPr w:leftFromText="180" w:rightFromText="180" w:vertAnchor="page" w:horzAnchor="page" w:tblpX="847" w:tblpY="1983"/>
        <w:tblW w:w="10383" w:type="dxa"/>
        <w:jc w:val="center"/>
        <w:tblInd w:w="0" w:type="dxa"/>
        <w:tblBorders>
          <w:top w:val="single" w:color="000000" w:themeColor="text1" w:sz="4" w:space="0"/>
          <w:left w:val="none" w:color="auto" w:sz="0" w:space="0"/>
          <w:bottom w:val="single" w:color="auto"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3085"/>
        <w:gridCol w:w="3612"/>
        <w:gridCol w:w="3686"/>
      </w:tblGrid>
      <w:tr>
        <w:tblPrEx>
          <w:tblBorders>
            <w:top w:val="single" w:color="000000" w:themeColor="text1" w:sz="4" w:space="0"/>
            <w:left w:val="none" w:color="auto" w:sz="0" w:space="0"/>
            <w:bottom w:val="single" w:color="auto"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0" w:hRule="atLeast"/>
          <w:jc w:val="center"/>
        </w:trPr>
        <w:tc>
          <w:tcPr>
            <w:tcW w:w="10383" w:type="dxa"/>
            <w:gridSpan w:val="3"/>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下列每项1分</w:t>
            </w:r>
          </w:p>
        </w:tc>
      </w:tr>
      <w:tr>
        <w:tblPrEx>
          <w:tblBorders>
            <w:top w:val="single" w:color="000000" w:themeColor="text1" w:sz="4" w:space="0"/>
            <w:left w:val="none" w:color="auto" w:sz="0" w:space="0"/>
            <w:bottom w:val="single" w:color="auto"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0" w:hRule="atLeast"/>
          <w:jc w:val="center"/>
        </w:trPr>
        <w:tc>
          <w:tcPr>
            <w:tcW w:w="3085" w:type="dxa"/>
            <w:tcBorders>
              <w:right w:val="nil"/>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年龄41~60岁</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下肢肿胀</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静脉曲张</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体重指数＞25kg/m</w:t>
            </w:r>
            <w:r>
              <w:rPr>
                <w:rFonts w:hint="eastAsia" w:ascii="仿宋_GB2312" w:hAnsi="仿宋_GB2312" w:eastAsia="仿宋_GB2312" w:cs="仿宋_GB2312"/>
                <w:sz w:val="24"/>
                <w:szCs w:val="24"/>
                <w:vertAlign w:val="superscript"/>
              </w:rPr>
              <w:t>2</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计划小手术</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脓毒血症（＜1个月）</w:t>
            </w:r>
          </w:p>
        </w:tc>
        <w:tc>
          <w:tcPr>
            <w:tcW w:w="3612" w:type="dxa"/>
            <w:tcBorders>
              <w:left w:val="nil"/>
              <w:bottom w:val="single" w:color="000000" w:themeColor="text1" w:sz="4" w:space="0"/>
              <w:right w:val="nil"/>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急性心肌梗死</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充血性心力衰竭（＜1个月）</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需卧床休息的内科疾病</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炎症性肠病病史</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大手术史（＜1个月）</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肺功能异常（如慢性阻塞性肺气肿）</w:t>
            </w:r>
          </w:p>
        </w:tc>
        <w:tc>
          <w:tcPr>
            <w:tcW w:w="3686" w:type="dxa"/>
            <w:tcBorders>
              <w:left w:val="nil"/>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严重肺部疾病（包括肺炎）（＜1个月）</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口服避孕药或激素替代疗法</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妊娠或产后状态（＜1个月）</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不明原因死胎，反应流产（≥3次），因脓毒</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150" w:firstLineChars="10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血症或胎儿生长停滞造成早产</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其他风险因素</w:t>
            </w:r>
          </w:p>
        </w:tc>
      </w:tr>
      <w:tr>
        <w:tblPrEx>
          <w:tblBorders>
            <w:top w:val="single" w:color="000000" w:themeColor="text1" w:sz="4" w:space="0"/>
            <w:left w:val="none" w:color="auto" w:sz="0" w:space="0"/>
            <w:bottom w:val="single" w:color="auto"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0" w:hRule="atLeast"/>
          <w:jc w:val="center"/>
        </w:trPr>
        <w:tc>
          <w:tcPr>
            <w:tcW w:w="10383" w:type="dxa"/>
            <w:gridSpan w:val="3"/>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下列每项2分</w:t>
            </w:r>
          </w:p>
        </w:tc>
      </w:tr>
      <w:tr>
        <w:tblPrEx>
          <w:tblBorders>
            <w:top w:val="single" w:color="000000" w:themeColor="text1" w:sz="4" w:space="0"/>
            <w:left w:val="none" w:color="auto" w:sz="0" w:space="0"/>
            <w:bottom w:val="single" w:color="auto"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0" w:hRule="atLeast"/>
          <w:jc w:val="center"/>
        </w:trPr>
        <w:tc>
          <w:tcPr>
            <w:tcW w:w="3085" w:type="dxa"/>
            <w:tcBorders>
              <w:right w:val="nil"/>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年龄61~74岁</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关节镜手术</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恶性肿瘤</w:t>
            </w:r>
          </w:p>
        </w:tc>
        <w:tc>
          <w:tcPr>
            <w:tcW w:w="3612" w:type="dxa"/>
            <w:tcBorders>
              <w:left w:val="nil"/>
              <w:bottom w:val="single" w:color="000000" w:themeColor="text1" w:sz="4" w:space="0"/>
              <w:right w:val="nil"/>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中心静脉导管</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大手术（＞45min）</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腹腔镜手术（＞45min）</w:t>
            </w:r>
          </w:p>
        </w:tc>
        <w:tc>
          <w:tcPr>
            <w:tcW w:w="3686" w:type="dxa"/>
            <w:tcBorders>
              <w:left w:val="nil"/>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限制性卧床（＞72h）</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石膏固定（＜1个月）</w:t>
            </w:r>
          </w:p>
        </w:tc>
      </w:tr>
      <w:tr>
        <w:tblPrEx>
          <w:tblBorders>
            <w:top w:val="single" w:color="000000" w:themeColor="text1" w:sz="4" w:space="0"/>
            <w:left w:val="none" w:color="auto" w:sz="0" w:space="0"/>
            <w:bottom w:val="single" w:color="auto"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0" w:hRule="atLeast"/>
          <w:jc w:val="center"/>
        </w:trPr>
        <w:tc>
          <w:tcPr>
            <w:tcW w:w="10383" w:type="dxa"/>
            <w:gridSpan w:val="3"/>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下列每项3分</w:t>
            </w:r>
          </w:p>
        </w:tc>
      </w:tr>
      <w:tr>
        <w:tblPrEx>
          <w:tblBorders>
            <w:top w:val="single" w:color="000000" w:themeColor="text1" w:sz="4" w:space="0"/>
            <w:left w:val="none" w:color="auto" w:sz="0" w:space="0"/>
            <w:bottom w:val="single" w:color="auto"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0" w:hRule="atLeast"/>
          <w:jc w:val="center"/>
        </w:trPr>
        <w:tc>
          <w:tcPr>
            <w:tcW w:w="3085" w:type="dxa"/>
            <w:tcBorders>
              <w:right w:val="nil"/>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年龄≥75岁</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深静脉血栓形成/肺血栓栓塞症病史</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V因子Leiden突变</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血栓家族史</w:t>
            </w:r>
          </w:p>
        </w:tc>
        <w:tc>
          <w:tcPr>
            <w:tcW w:w="3612" w:type="dxa"/>
            <w:tcBorders>
              <w:left w:val="nil"/>
              <w:bottom w:val="single" w:color="000000" w:themeColor="text1" w:sz="4" w:space="0"/>
              <w:right w:val="nil"/>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凝血酶原20210A突变</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狼疮样抗凝物质</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高半胱氨酸血症</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肝素引起的血小板减少症（避免使用普通</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150" w:firstLineChars="10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肝素或低分子肝素）</w:t>
            </w:r>
          </w:p>
        </w:tc>
        <w:tc>
          <w:tcPr>
            <w:tcW w:w="3686" w:type="dxa"/>
            <w:tcBorders>
              <w:left w:val="nil"/>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抗心磷脂抗体升高</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其它先天性或获得性易栓症</w:t>
            </w:r>
          </w:p>
        </w:tc>
      </w:tr>
      <w:tr>
        <w:tblPrEx>
          <w:tblBorders>
            <w:top w:val="single" w:color="000000" w:themeColor="text1" w:sz="4" w:space="0"/>
            <w:left w:val="none" w:color="auto" w:sz="0" w:space="0"/>
            <w:bottom w:val="single" w:color="auto"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0" w:hRule="atLeast"/>
          <w:jc w:val="center"/>
        </w:trPr>
        <w:tc>
          <w:tcPr>
            <w:tcW w:w="10383" w:type="dxa"/>
            <w:gridSpan w:val="3"/>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下列每项5分</w:t>
            </w:r>
          </w:p>
        </w:tc>
      </w:tr>
      <w:tr>
        <w:tblPrEx>
          <w:tblBorders>
            <w:top w:val="single" w:color="000000" w:themeColor="text1" w:sz="4" w:space="0"/>
            <w:left w:val="none" w:color="auto" w:sz="0" w:space="0"/>
            <w:bottom w:val="single" w:color="auto" w:sz="12" w:space="0"/>
            <w:right w:val="none" w:color="auto" w:sz="0"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0" w:hRule="atLeast"/>
          <w:jc w:val="center"/>
        </w:trPr>
        <w:tc>
          <w:tcPr>
            <w:tcW w:w="3085" w:type="dxa"/>
            <w:tcBorders>
              <w:right w:val="nil"/>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卒中（＜1个月）</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多处创伤（＜1个月）</w:t>
            </w:r>
          </w:p>
        </w:tc>
        <w:tc>
          <w:tcPr>
            <w:tcW w:w="3612" w:type="dxa"/>
            <w:tcBorders>
              <w:left w:val="nil"/>
              <w:bottom w:val="single" w:color="auto" w:sz="12" w:space="0"/>
              <w:right w:val="nil"/>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择期下肢主要关节成形术</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髋部、盆腔或下肢骨折（＜1个月）</w:t>
            </w:r>
          </w:p>
        </w:tc>
        <w:tc>
          <w:tcPr>
            <w:tcW w:w="3686" w:type="dxa"/>
            <w:tcBorders>
              <w:left w:val="nil"/>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急性脊髓损伤（瘫痪）（＜1个月）</w:t>
            </w:r>
          </w:p>
        </w:tc>
      </w:tr>
    </w:tbl>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表2  普通外科手术患者静脉血栓栓塞症（VTE）风险分层</w:t>
      </w:r>
    </w:p>
    <w:tbl>
      <w:tblPr>
        <w:tblStyle w:val="5"/>
        <w:tblW w:w="7078" w:type="dxa"/>
        <w:jc w:val="center"/>
        <w:tblInd w:w="398" w:type="dxa"/>
        <w:tblBorders>
          <w:top w:val="single" w:color="000000" w:themeColor="text1" w:sz="4" w:space="0"/>
          <w:left w:val="none" w:color="auto" w:sz="0" w:space="0"/>
          <w:bottom w:val="single" w:color="000000" w:themeColor="text1" w:sz="4" w:space="0"/>
          <w:right w:val="none" w:color="auto" w:sz="0" w:space="0"/>
          <w:insideH w:val="single" w:color="000000" w:themeColor="text1" w:sz="4" w:space="0"/>
          <w:insideV w:val="none" w:color="auto" w:sz="0" w:space="0"/>
        </w:tblBorders>
        <w:tblLayout w:type="fixed"/>
        <w:tblCellMar>
          <w:top w:w="0" w:type="dxa"/>
          <w:left w:w="108" w:type="dxa"/>
          <w:bottom w:w="0" w:type="dxa"/>
          <w:right w:w="108" w:type="dxa"/>
        </w:tblCellMar>
      </w:tblPr>
      <w:tblGrid>
        <w:gridCol w:w="1556"/>
        <w:gridCol w:w="1922"/>
        <w:gridCol w:w="3600"/>
      </w:tblGrid>
      <w:tr>
        <w:tblPrEx>
          <w:tblBorders>
            <w:top w:val="single" w:color="000000" w:themeColor="text1" w:sz="4" w:space="0"/>
            <w:left w:val="none" w:color="auto" w:sz="0" w:space="0"/>
            <w:bottom w:val="single" w:color="000000" w:themeColor="text1" w:sz="4" w:space="0"/>
            <w:right w:val="none" w:color="auto" w:sz="0" w:space="0"/>
            <w:insideH w:val="single" w:color="000000" w:themeColor="text1" w:sz="4" w:space="0"/>
            <w:insideV w:val="none" w:color="auto" w:sz="0" w:space="0"/>
          </w:tblBorders>
          <w:tblLayout w:type="fixed"/>
          <w:tblCellMar>
            <w:top w:w="0" w:type="dxa"/>
            <w:left w:w="108" w:type="dxa"/>
            <w:bottom w:w="0" w:type="dxa"/>
            <w:right w:w="108" w:type="dxa"/>
          </w:tblCellMar>
        </w:tblPrEx>
        <w:trPr>
          <w:jc w:val="center"/>
        </w:trPr>
        <w:tc>
          <w:tcPr>
            <w:tcW w:w="1556" w:type="dxa"/>
            <w:tcBorders>
              <w:bottom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风险分层</w:t>
            </w:r>
          </w:p>
        </w:tc>
        <w:tc>
          <w:tcPr>
            <w:tcW w:w="1922" w:type="dxa"/>
            <w:tcBorders>
              <w:bottom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普通外科手术</w:t>
            </w:r>
          </w:p>
        </w:tc>
        <w:tc>
          <w:tcPr>
            <w:tcW w:w="3600" w:type="dxa"/>
            <w:tcBorders>
              <w:bottom w:val="single" w:color="000000" w:themeColor="text1"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无预防措施时，预计VTE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基线风险（%）</w:t>
            </w:r>
          </w:p>
        </w:tc>
      </w:tr>
      <w:tr>
        <w:tblPrEx>
          <w:tblBorders>
            <w:top w:val="single" w:color="000000" w:themeColor="text1" w:sz="4" w:space="0"/>
            <w:left w:val="none" w:color="auto" w:sz="0" w:space="0"/>
            <w:bottom w:val="single" w:color="000000" w:themeColor="text1" w:sz="4" w:space="0"/>
            <w:right w:val="none" w:color="auto" w:sz="0" w:space="0"/>
            <w:insideH w:val="single" w:color="000000" w:themeColor="text1" w:sz="4" w:space="0"/>
            <w:insideV w:val="none" w:color="auto" w:sz="0" w:space="0"/>
          </w:tblBorders>
          <w:tblLayout w:type="fixed"/>
          <w:tblCellMar>
            <w:top w:w="0" w:type="dxa"/>
            <w:left w:w="108" w:type="dxa"/>
            <w:bottom w:w="0" w:type="dxa"/>
            <w:right w:w="108" w:type="dxa"/>
          </w:tblCellMar>
        </w:tblPrEx>
        <w:trPr>
          <w:jc w:val="center"/>
        </w:trPr>
        <w:tc>
          <w:tcPr>
            <w:tcW w:w="1556" w:type="dxa"/>
            <w:tcBorders>
              <w:left w:val="nil"/>
              <w:bottom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非常低危</w:t>
            </w:r>
          </w:p>
        </w:tc>
        <w:tc>
          <w:tcPr>
            <w:tcW w:w="1922" w:type="dxa"/>
            <w:tcBorders>
              <w:bottom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Caprini 0</w:t>
            </w:r>
          </w:p>
        </w:tc>
        <w:tc>
          <w:tcPr>
            <w:tcW w:w="3600" w:type="dxa"/>
            <w:tcBorders>
              <w:bottom w:val="nil"/>
              <w:right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＜0.5</w:t>
            </w:r>
          </w:p>
        </w:tc>
      </w:tr>
      <w:tr>
        <w:tblPrEx>
          <w:tblBorders>
            <w:top w:val="single" w:color="000000" w:themeColor="text1" w:sz="4" w:space="0"/>
            <w:left w:val="none" w:color="auto" w:sz="0" w:space="0"/>
            <w:bottom w:val="single" w:color="000000" w:themeColor="text1" w:sz="4" w:space="0"/>
            <w:right w:val="none" w:color="auto" w:sz="0" w:space="0"/>
            <w:insideH w:val="single" w:color="000000" w:themeColor="text1" w:sz="4" w:space="0"/>
            <w:insideV w:val="none" w:color="auto" w:sz="0" w:space="0"/>
          </w:tblBorders>
          <w:tblLayout w:type="fixed"/>
          <w:tblCellMar>
            <w:top w:w="0" w:type="dxa"/>
            <w:left w:w="108" w:type="dxa"/>
            <w:bottom w:w="0" w:type="dxa"/>
            <w:right w:w="108" w:type="dxa"/>
          </w:tblCellMar>
        </w:tblPrEx>
        <w:trPr>
          <w:jc w:val="center"/>
        </w:trPr>
        <w:tc>
          <w:tcPr>
            <w:tcW w:w="1556" w:type="dxa"/>
            <w:tcBorders>
              <w:top w:val="nil"/>
              <w:left w:val="nil"/>
              <w:bottom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低危</w:t>
            </w:r>
          </w:p>
        </w:tc>
        <w:tc>
          <w:tcPr>
            <w:tcW w:w="1922" w:type="dxa"/>
            <w:tcBorders>
              <w:top w:val="nil"/>
              <w:bottom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Caprini</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2</w:t>
            </w:r>
          </w:p>
        </w:tc>
        <w:tc>
          <w:tcPr>
            <w:tcW w:w="3600" w:type="dxa"/>
            <w:tcBorders>
              <w:top w:val="nil"/>
              <w:bottom w:val="nil"/>
              <w:right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1.5</w:t>
            </w:r>
          </w:p>
        </w:tc>
      </w:tr>
      <w:tr>
        <w:tblPrEx>
          <w:tblBorders>
            <w:top w:val="single" w:color="000000" w:themeColor="text1" w:sz="4" w:space="0"/>
            <w:left w:val="none" w:color="auto" w:sz="0" w:space="0"/>
            <w:bottom w:val="single" w:color="000000" w:themeColor="text1" w:sz="4" w:space="0"/>
            <w:right w:val="none" w:color="auto" w:sz="0" w:space="0"/>
            <w:insideH w:val="single" w:color="000000" w:themeColor="text1" w:sz="4" w:space="0"/>
            <w:insideV w:val="none" w:color="auto" w:sz="0" w:space="0"/>
          </w:tblBorders>
          <w:tblLayout w:type="fixed"/>
          <w:tblCellMar>
            <w:top w:w="0" w:type="dxa"/>
            <w:left w:w="108" w:type="dxa"/>
            <w:bottom w:w="0" w:type="dxa"/>
            <w:right w:w="108" w:type="dxa"/>
          </w:tblCellMar>
        </w:tblPrEx>
        <w:trPr>
          <w:jc w:val="center"/>
        </w:trPr>
        <w:tc>
          <w:tcPr>
            <w:tcW w:w="1556" w:type="dxa"/>
            <w:tcBorders>
              <w:top w:val="nil"/>
              <w:left w:val="nil"/>
              <w:bottom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中危</w:t>
            </w:r>
          </w:p>
        </w:tc>
        <w:tc>
          <w:tcPr>
            <w:tcW w:w="1922" w:type="dxa"/>
            <w:tcBorders>
              <w:top w:val="nil"/>
              <w:bottom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Caprini 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4</w:t>
            </w:r>
          </w:p>
        </w:tc>
        <w:tc>
          <w:tcPr>
            <w:tcW w:w="3600" w:type="dxa"/>
            <w:tcBorders>
              <w:top w:val="nil"/>
              <w:bottom w:val="nil"/>
              <w:right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3.0</w:t>
            </w:r>
          </w:p>
        </w:tc>
      </w:tr>
      <w:tr>
        <w:tblPrEx>
          <w:tblBorders>
            <w:top w:val="single" w:color="000000" w:themeColor="text1" w:sz="4" w:space="0"/>
            <w:left w:val="none" w:color="auto" w:sz="0" w:space="0"/>
            <w:bottom w:val="single" w:color="000000" w:themeColor="text1" w:sz="4" w:space="0"/>
            <w:right w:val="none" w:color="auto" w:sz="0" w:space="0"/>
            <w:insideH w:val="single" w:color="000000" w:themeColor="text1" w:sz="4" w:space="0"/>
            <w:insideV w:val="none" w:color="auto" w:sz="0" w:space="0"/>
          </w:tblBorders>
          <w:tblLayout w:type="fixed"/>
          <w:tblCellMar>
            <w:top w:w="0" w:type="dxa"/>
            <w:left w:w="108" w:type="dxa"/>
            <w:bottom w:w="0" w:type="dxa"/>
            <w:right w:w="108" w:type="dxa"/>
          </w:tblCellMar>
        </w:tblPrEx>
        <w:trPr>
          <w:jc w:val="center"/>
        </w:trPr>
        <w:tc>
          <w:tcPr>
            <w:tcW w:w="1556" w:type="dxa"/>
            <w:tcBorders>
              <w:top w:val="nil"/>
              <w:left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高危</w:t>
            </w:r>
          </w:p>
        </w:tc>
        <w:tc>
          <w:tcPr>
            <w:tcW w:w="1922" w:type="dxa"/>
            <w:tcBorders>
              <w:top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Caprini ≥5</w:t>
            </w:r>
          </w:p>
        </w:tc>
        <w:tc>
          <w:tcPr>
            <w:tcW w:w="3600" w:type="dxa"/>
            <w:tcBorders>
              <w:top w:val="nil"/>
              <w:right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6.0</w:t>
            </w:r>
          </w:p>
        </w:tc>
      </w:tr>
    </w:tbl>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w w:val="90"/>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w w:val="90"/>
          <w:sz w:val="32"/>
          <w:szCs w:val="32"/>
        </w:rPr>
        <w:t>表3普通外科静脉血栓栓塞症（VTE）患者术前预防措施推荐</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drawing>
          <wp:inline distT="0" distB="0" distL="114300" distR="114300">
            <wp:extent cx="5228590" cy="1533525"/>
            <wp:effectExtent l="0" t="0" r="10160" b="952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5"/>
                    <a:stretch>
                      <a:fillRect/>
                    </a:stretch>
                  </pic:blipFill>
                  <pic:spPr>
                    <a:xfrm>
                      <a:off x="0" y="0"/>
                      <a:ext cx="5228590" cy="15335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（三）具体预防方法</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1.机械预防:①弹力袜:</w:t>
      </w:r>
      <w:r>
        <w:rPr>
          <w:rFonts w:hint="eastAsia" w:ascii="仿宋_GB2312" w:hAnsi="仿宋_GB2312" w:eastAsia="仿宋_GB2312" w:cs="仿宋_GB2312"/>
          <w:sz w:val="32"/>
          <w:szCs w:val="32"/>
        </w:rPr>
        <w:t>用于下肢DVT的初级预防，脚踝水平的压力建议在18～23mmHg（1mmHg＝0.133kPa）。过膝弹力袜优于膝下弹力袜。</w:t>
      </w:r>
      <w:r>
        <w:rPr>
          <w:rFonts w:hint="eastAsia" w:ascii="仿宋_GB2312" w:hAnsi="仿宋_GB2312" w:eastAsia="仿宋_GB2312" w:cs="仿宋_GB2312"/>
          <w:b/>
          <w:bCs/>
          <w:sz w:val="32"/>
          <w:szCs w:val="32"/>
        </w:rPr>
        <w:t>②间歇充气加压泵（intermittent pneumatic compression，IPC）:</w:t>
      </w:r>
      <w:r>
        <w:rPr>
          <w:rFonts w:hint="eastAsia" w:ascii="仿宋_GB2312" w:hAnsi="仿宋_GB2312" w:eastAsia="仿宋_GB2312" w:cs="仿宋_GB2312"/>
          <w:sz w:val="32"/>
          <w:szCs w:val="32"/>
        </w:rPr>
        <w:t>建议每天使用时间至少18h。</w:t>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 3 \* GB3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③</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sz w:val="32"/>
          <w:szCs w:val="32"/>
        </w:rPr>
        <w:t>足底静脉泵。</w:t>
      </w:r>
      <w:r>
        <w:rPr>
          <w:rFonts w:hint="eastAsia" w:ascii="仿宋_GB2312" w:hAnsi="仿宋_GB2312" w:eastAsia="仿宋_GB2312" w:cs="仿宋_GB2312"/>
          <w:sz w:val="32"/>
          <w:szCs w:val="32"/>
        </w:rPr>
        <w:t>单纯机械预防不能替代药物预防。</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i w:val="0"/>
          <w:iCs w:val="0"/>
          <w:sz w:val="32"/>
          <w:szCs w:val="32"/>
        </w:rPr>
        <w:t>2.药物预防:</w:t>
      </w:r>
      <w:r>
        <w:rPr>
          <w:rFonts w:hint="eastAsia" w:ascii="仿宋_GB2312" w:hAnsi="仿宋_GB2312" w:eastAsia="仿宋_GB2312" w:cs="仿宋_GB2312"/>
          <w:b/>
          <w:bCs/>
          <w:sz w:val="32"/>
          <w:szCs w:val="32"/>
        </w:rPr>
        <w:t>①普通肝素:</w:t>
      </w:r>
      <w:r>
        <w:rPr>
          <w:rFonts w:hint="eastAsia" w:ascii="仿宋_GB2312" w:hAnsi="仿宋_GB2312" w:eastAsia="仿宋_GB2312" w:cs="仿宋_GB2312"/>
          <w:sz w:val="32"/>
          <w:szCs w:val="32"/>
        </w:rPr>
        <w:t>5000IU皮下注射，2次/d。可在术前2小时开始给药。</w:t>
      </w:r>
      <w:r>
        <w:rPr>
          <w:rFonts w:hint="eastAsia" w:ascii="仿宋_GB2312" w:hAnsi="仿宋_GB2312" w:eastAsia="仿宋_GB2312" w:cs="仿宋_GB2312"/>
          <w:b/>
          <w:bCs/>
          <w:sz w:val="32"/>
          <w:szCs w:val="32"/>
        </w:rPr>
        <w:t>②低分子肝素:</w:t>
      </w:r>
      <w:r>
        <w:rPr>
          <w:rFonts w:hint="eastAsia" w:ascii="仿宋_GB2312" w:hAnsi="仿宋_GB2312" w:eastAsia="仿宋_GB2312" w:cs="仿宋_GB2312"/>
          <w:sz w:val="32"/>
          <w:szCs w:val="32"/>
        </w:rPr>
        <w:t>皮下注射，1次/d。不同的低分子肝素用于普通外科VTE预防的剂量有所不同，建议参照药品说明书给药。考虑到出血风险，目前推荐术前12小时给药。以依诺肝素为例，对于中等风险的普通外科患者，可于术前12小时开始给予2000IU或4000U皮下注射，1次/d；对于高危患者特别是合并恶性肿瘤的患者，建议术前12小时开始给药，4000U皮下注射，1次/d。对于肥胖症患者，可能需要更大剂量的低分子肝素。</w:t>
      </w:r>
      <w:r>
        <w:rPr>
          <w:rFonts w:hint="eastAsia" w:ascii="仿宋_GB2312" w:hAnsi="仿宋_GB2312" w:eastAsia="仿宋_GB2312" w:cs="仿宋_GB2312"/>
          <w:b/>
          <w:bCs/>
          <w:sz w:val="32"/>
          <w:szCs w:val="32"/>
        </w:rPr>
        <w:t>③磺达肝癸钠:</w:t>
      </w:r>
      <w:r>
        <w:rPr>
          <w:rFonts w:hint="eastAsia" w:ascii="仿宋_GB2312" w:hAnsi="仿宋_GB2312" w:eastAsia="仿宋_GB2312" w:cs="仿宋_GB2312"/>
          <w:sz w:val="32"/>
          <w:szCs w:val="32"/>
        </w:rPr>
        <w:t>2.5mg皮下注射，1次/d，术后6-8h开始给药。与低分子肝素相比，磺达肝癸钠虽可进一步降低DVT风险，但同时会增加大出血风险。因此，不建议作为普通外科手术患者VTE预防的一线用药。</w:t>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 4 \* GB3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④</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sz w:val="32"/>
          <w:szCs w:val="32"/>
        </w:rPr>
        <w:t>新型口服抗凝药。</w:t>
      </w:r>
      <w:r>
        <w:rPr>
          <w:rFonts w:hint="eastAsia" w:ascii="仿宋_GB2312" w:hAnsi="仿宋_GB2312" w:eastAsia="仿宋_GB2312" w:cs="仿宋_GB2312"/>
          <w:sz w:val="32"/>
          <w:szCs w:val="32"/>
        </w:rPr>
        <w:t>主要应用于骨科外科手术，内科患者VTE预防的研究很少。</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3.预防禁忌</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（一）弹力袜：</w:t>
      </w:r>
      <w:r>
        <w:rPr>
          <w:rFonts w:hint="eastAsia" w:ascii="仿宋_GB2312" w:hAnsi="仿宋_GB2312" w:eastAsia="仿宋_GB2312" w:cs="仿宋_GB2312"/>
          <w:sz w:val="32"/>
          <w:szCs w:val="32"/>
        </w:rPr>
        <w:t>(1)腿部局部情况异常(如皮炎、坏疽、近期接受皮肤移植手术)；(2)下肢血管严重的动脉硬化或其他缺血性血管病；(3)腿部严重畸形(4)患肢大的开放或引流伤口；(5)心力衰竭；(6)安装心脏起搏器；(7)肺水肿；(8)腿部严重水肿。</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（二）PC：</w:t>
      </w:r>
      <w:r>
        <w:rPr>
          <w:rFonts w:hint="eastAsia" w:ascii="仿宋_GB2312" w:hAnsi="仿宋_GB2312" w:eastAsia="仿宋_GB2312" w:cs="仿宋_GB2312"/>
          <w:sz w:val="32"/>
          <w:szCs w:val="32"/>
        </w:rPr>
        <w:t>下肢深静脉血栓症、血栓(性)静脉炎或肺栓塞，其他禁忌同弹力袜。</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（三）肝素类药物：</w:t>
      </w:r>
      <w:r>
        <w:rPr>
          <w:rFonts w:hint="eastAsia" w:ascii="仿宋_GB2312" w:hAnsi="仿宋_GB2312" w:eastAsia="仿宋_GB2312" w:cs="仿宋_GB2312"/>
          <w:sz w:val="32"/>
          <w:szCs w:val="32"/>
        </w:rPr>
        <w:t>活动性出血、活动性消化道溃疡、凝血功能障碍、恶性高血压、细菌性心内膜炎、严重肝肾功能损害、既往有肝素诱导的血小板减少症（heparin-induced thrombocytopenia，HIT)及对肝素过敏者。</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（四）磺达肝癸钠：</w:t>
      </w:r>
      <w:r>
        <w:rPr>
          <w:rFonts w:hint="eastAsia" w:ascii="仿宋_GB2312" w:hAnsi="仿宋_GB2312" w:eastAsia="仿宋_GB2312" w:cs="仿宋_GB2312"/>
          <w:sz w:val="32"/>
          <w:szCs w:val="32"/>
        </w:rPr>
        <w:t>对磺达肝癸钠过敏，肌酐清除率&lt;20m/min，其余禁忌证同肝素。但可用于有HIT史的患者。</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三</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rPr>
        <w:t>静脉血栓栓塞症（VTE）的治疗</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rPr>
        <w:t>（一）对于高度怀疑PTE患者，在确诊之前即应给予低分子肝素治疗，避免因过分强调尚未确诊而延迟低分子肝素的使用。</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rPr>
        <w:t>（二）溶栓治疗方案：尿激酶20 kU/kg溶入50mL液体中，2h内泵入；或者重组组织型纤溶酶原激活物（recombinant tissue plasminogen activator，rt-PA）50mg溶入50mL液体中，2h内泵入。溶栓结束后待APTT或活化凝血时间（activate coagulation time，ACT）＜2.0倍正常参考值上限时，给予肝素持续静滴24～48h（仅限于 rt-PA溶栓后）。之后的抗凝方法可以直接过渡为NOAC（Xa因子拮抗剂或IIb因子拮抗剂）或为低分子肝素与华法林重叠使用至 INR 达标（INR 2.0～3.0）后停用低分子肝素。对于具备溶栓适应证但同时存在溶栓禁忌证的患者则采取保守治疗、导管内溶栓或血栓抽吸治疗。</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（三）抗凝治疗方案：肿瘤相关的 PTE患者建议使用低分子肝素；非肿瘤相关的 PTE患者可以考虑使用华法林（INR 2.0～3.0）或NOAC（如利伐沙班、达比加群等）。抗凝治疗疗程：对于无明确触发因素的首发 PE患者的抗凝治疗疗程，在顺利抗凝治疗3个月后，如需要继续抗凝无需更改抗凝药物种类；如口服抗凝药物治疗期间控制不满意或血栓复发，应改为低分子肝素治疗。抗凝疗程大致分为4种：①初始治疗（5～10d）：包括抗凝治疗、再灌注治疗或介入治疗；②长期治疗（10d～3个月）：针对存在明确触发因素的VTE患者，如存在雌激素替代治疗、孕期、腿部外伤或长途＞8h者；③延长治疗（3个月～不限期或终身）：针对无明确触发因素的VTE患者（特发的），抗凝疗程通常会限定在12个月之内；④肿瘤相关的VTE患者因考虑血栓复发可能性大，建议不限期治疗，即没有停药计划。但是指南强调，对于不限期抗凝治疗患者，需要每年评估抗凝治疗的必要性及出血风险，以确保抗凝治疗的获益最大化。抗凝可以减少抗凝治疗期间 VTE的复发率，但对于无明确触发因素或肿瘤相关的PE患者，延长抗凝治疗的疗程只能延缓复发的时间，并不能真正降低抗凝结束后VTE的复发率。</w:t>
      </w:r>
    </w:p>
    <w:p>
      <w:pPr>
        <w:keepNext w:val="0"/>
        <w:keepLines w:val="0"/>
        <w:pageBreakBefore w:val="0"/>
        <w:widowControl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（四）系统溶栓序贯抗凝治疗是治疗高危PTE患者的首选方法。</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（五）存在血流动力学不稳定的PTE患者可以采用在体外膜肺氧合（extracorporeal membrane oxygenation，ECMO）及下腔静脉（inferior vena cava，IVC）滤器置入保驾下进行溶栓治疗；血流动力学稳定的PTE患者如存在近期手术、既往有卒中或颅内占位性病变、既往心肺储备功能差、孕妇、活动期肿瘤、下肢近端静脉漂浮血栓等情况时，需要借助于其他手段如介入碎栓、血栓抽吸、开胸取栓、IVC滤器置入等治疗。</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四</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rPr>
        <w:t>静脉血栓栓塞症（VTE）的护理</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b/>
          <w:bCs/>
          <w:sz w:val="32"/>
          <w:szCs w:val="32"/>
          <w:shd w:val="clear" w:color="auto" w:fill="FFFFFF"/>
        </w:rPr>
        <w:t>（一）</w:t>
      </w:r>
      <w:r>
        <w:rPr>
          <w:rFonts w:hint="eastAsia" w:ascii="仿宋_GB2312" w:hAnsi="仿宋_GB2312" w:eastAsia="仿宋_GB2312" w:cs="仿宋_GB2312"/>
          <w:b/>
          <w:bCs/>
          <w:sz w:val="32"/>
          <w:szCs w:val="32"/>
        </w:rPr>
        <w:t>心理护理</w:t>
      </w:r>
      <w:r>
        <w:rPr>
          <w:rFonts w:hint="eastAsia" w:ascii="仿宋_GB2312" w:hAnsi="仿宋_GB2312" w:eastAsia="仿宋_GB2312" w:cs="仿宋_GB2312"/>
          <w:sz w:val="32"/>
          <w:szCs w:val="32"/>
        </w:rPr>
        <w:t xml:space="preserve">  发生VTE的患者，由于对深静脉栓塞发生的机制不了解，患者多伴有不同程度的负性心理，如恐惧、急躁、焦虑，信心缺乏等。根据患者不同的心理情绪，并且匹配老年患者的病情状况、文化程度、心理需求、经济情况等状 况，有针对性的、耐心的对患者讲解此种疾病的发生过程及危险性。</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（二）非手术治疗的护理</w:t>
      </w:r>
      <w:r>
        <w:rPr>
          <w:rFonts w:hint="eastAsia" w:ascii="仿宋_GB2312" w:hAnsi="仿宋_GB2312" w:eastAsia="仿宋_GB2312" w:cs="仿宋_GB2312"/>
          <w:sz w:val="32"/>
          <w:szCs w:val="32"/>
        </w:rPr>
        <w:t xml:space="preserve">  急性期病人应绝对卧床休息10-14天，床上活动时避免动作幅度过大，禁止按摩患肢，以防血栓脱落。抬高患肢，患肢宜高于心脏平面20-30cm，以促进血液回流，防止静脉淤血，并可降低下肢静脉压，从而减轻水肿与疼痛。 </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b/>
          <w:bCs/>
          <w:sz w:val="32"/>
          <w:szCs w:val="32"/>
          <w:shd w:val="clear" w:color="auto" w:fill="FFFFFF"/>
        </w:rPr>
        <w:t>（三）</w:t>
      </w:r>
      <w:r>
        <w:rPr>
          <w:rFonts w:hint="eastAsia" w:ascii="仿宋_GB2312" w:hAnsi="仿宋_GB2312" w:eastAsia="仿宋_GB2312" w:cs="仿宋_GB2312"/>
          <w:b/>
          <w:bCs/>
          <w:sz w:val="32"/>
          <w:szCs w:val="32"/>
        </w:rPr>
        <w:t>患肢的观察和护理</w:t>
      </w:r>
      <w:r>
        <w:rPr>
          <w:rFonts w:hint="eastAsia" w:ascii="仿宋_GB2312" w:hAnsi="仿宋_GB2312" w:eastAsia="仿宋_GB2312" w:cs="仿宋_GB2312"/>
          <w:sz w:val="32"/>
          <w:szCs w:val="32"/>
        </w:rPr>
        <w:t xml:space="preserve">  应时刻密切观察深静脉血栓侧的皮肤颜色、有无明显的肿胀、经手触摸是否有明显的温度变化及患肢的疼痛感觉变化，可初步判断患者的血管通畅情况。使用软尺测量双下肢周径每日做记录，并比较其大小。在急性血栓期的患者应嘱咐其绝对的卧床休息，避免着凉，将患肢适当的抬高，并在膝盖的下面垫一个质软的长垫，可利于机体的静脉血液回流。</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b/>
          <w:bCs/>
          <w:sz w:val="32"/>
          <w:szCs w:val="32"/>
          <w:shd w:val="clear" w:color="auto" w:fill="FFFFFF"/>
        </w:rPr>
        <w:t>（</w:t>
      </w:r>
      <w:r>
        <w:rPr>
          <w:rFonts w:hint="eastAsia" w:ascii="仿宋_GB2312" w:hAnsi="仿宋_GB2312" w:eastAsia="仿宋_GB2312" w:cs="仿宋_GB2312"/>
          <w:b/>
          <w:bCs/>
          <w:sz w:val="32"/>
          <w:szCs w:val="32"/>
          <w:shd w:val="clear" w:color="auto" w:fill="FFFFFF"/>
          <w:lang w:val="en-US" w:eastAsia="zh-CN"/>
        </w:rPr>
        <w:t>四</w:t>
      </w:r>
      <w:r>
        <w:rPr>
          <w:rFonts w:hint="eastAsia" w:ascii="仿宋_GB2312" w:hAnsi="仿宋_GB2312" w:eastAsia="仿宋_GB2312" w:cs="仿宋_GB2312"/>
          <w:b/>
          <w:bCs/>
          <w:sz w:val="32"/>
          <w:szCs w:val="32"/>
          <w:shd w:val="clear" w:color="auto" w:fill="FFFFFF"/>
        </w:rPr>
        <w:t>）</w:t>
      </w:r>
      <w:r>
        <w:rPr>
          <w:rFonts w:hint="eastAsia" w:ascii="仿宋_GB2312" w:hAnsi="仿宋_GB2312" w:eastAsia="仿宋_GB2312" w:cs="仿宋_GB2312"/>
          <w:b/>
          <w:bCs/>
          <w:sz w:val="32"/>
          <w:szCs w:val="32"/>
        </w:rPr>
        <w:t>发生肺栓塞的观察和护理</w:t>
      </w:r>
      <w:r>
        <w:rPr>
          <w:rFonts w:hint="eastAsia" w:ascii="仿宋_GB2312" w:hAnsi="仿宋_GB2312" w:eastAsia="仿宋_GB2312" w:cs="仿宋_GB2312"/>
          <w:sz w:val="32"/>
          <w:szCs w:val="32"/>
        </w:rPr>
        <w:t xml:space="preserve">  密切观察患者基本生命体征及心电监护的变化，一旦患者出现呼吸困难、发绀、剧烈咳嗽、胸痛、休克、血氧饱和度急剧下降等状况，此时应做好肺栓塞发生的可能性。应及时报告值班医生，对其进行抢救。</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b/>
          <w:bCs/>
          <w:sz w:val="32"/>
          <w:szCs w:val="32"/>
          <w:shd w:val="clear" w:color="auto" w:fill="FFFFFF"/>
        </w:rPr>
        <w:t>（</w:t>
      </w:r>
      <w:r>
        <w:rPr>
          <w:rFonts w:hint="eastAsia" w:ascii="仿宋_GB2312" w:hAnsi="仿宋_GB2312" w:eastAsia="仿宋_GB2312" w:cs="仿宋_GB2312"/>
          <w:b/>
          <w:bCs/>
          <w:sz w:val="32"/>
          <w:szCs w:val="32"/>
          <w:shd w:val="clear" w:color="auto" w:fill="FFFFFF"/>
          <w:lang w:val="en-US" w:eastAsia="zh-CN"/>
        </w:rPr>
        <w:t>五</w:t>
      </w:r>
      <w:r>
        <w:rPr>
          <w:rFonts w:hint="eastAsia" w:ascii="仿宋_GB2312" w:hAnsi="仿宋_GB2312" w:eastAsia="仿宋_GB2312" w:cs="仿宋_GB2312"/>
          <w:b/>
          <w:bCs/>
          <w:sz w:val="32"/>
          <w:szCs w:val="32"/>
          <w:shd w:val="clear" w:color="auto" w:fill="FFFFFF"/>
        </w:rPr>
        <w:t>）</w:t>
      </w:r>
      <w:r>
        <w:rPr>
          <w:rFonts w:hint="eastAsia" w:ascii="仿宋_GB2312" w:hAnsi="仿宋_GB2312" w:eastAsia="仿宋_GB2312" w:cs="仿宋_GB2312"/>
          <w:b/>
          <w:bCs/>
          <w:sz w:val="32"/>
          <w:szCs w:val="32"/>
        </w:rPr>
        <w:t>治疗药物的护理</w:t>
      </w:r>
      <w:r>
        <w:rPr>
          <w:rFonts w:hint="eastAsia" w:ascii="仿宋_GB2312" w:hAnsi="仿宋_GB2312" w:eastAsia="仿宋_GB2312" w:cs="仿宋_GB2312"/>
          <w:sz w:val="32"/>
          <w:szCs w:val="32"/>
        </w:rPr>
        <w:t xml:space="preserve">  及时的遵循医嘱给药，并观察其药物的疗效及毒副作用，抗凝药物最严重的并发症是出血，因此在抗凝治疗时要严密观察有无全身性出血倾向和切口渗血情况并配合医生治疗。</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）生活护理</w:t>
      </w:r>
      <w:r>
        <w:rPr>
          <w:rFonts w:hint="eastAsia" w:ascii="仿宋_GB2312" w:hAnsi="仿宋_GB2312" w:eastAsia="仿宋_GB2312" w:cs="仿宋_GB2312"/>
          <w:sz w:val="32"/>
          <w:szCs w:val="32"/>
        </w:rPr>
        <w:t xml:space="preserve">  ①保持病房的整洁、干燥，注意通风的同时应注意保暖；②嘱咐患者家属给予患者低盐 低脂糖尿病饮食及尽量吃清淡易于消化高蛋白的食物，可多吃水果和蔬菜，多喝水，可起到稀释血液的粘稠度，降低血栓发生的可能性；③护理人员应做好患者的基础护理，给予擦拭、翻身、换床单等，避免其它并发症的发生；④记录患者的每日大便次数，如出现便秘应给予通便处理，避免引起腹压的增加，对下肢静脉回流造成影响。</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color w:val="000000" w:themeColor="text1"/>
          <w:sz w:val="32"/>
          <w:szCs w:val="32"/>
          <w14:textFill>
            <w14:solidFill>
              <w14:schemeClr w14:val="tx1"/>
            </w14:solidFill>
          </w14:textFill>
        </w:rPr>
        <w:t>五</w:t>
      </w:r>
      <w:r>
        <w:rPr>
          <w:rFonts w:hint="eastAsia" w:ascii="仿宋_GB2312" w:hAnsi="仿宋_GB2312" w:eastAsia="仿宋_GB2312" w:cs="仿宋_GB2312"/>
          <w:b/>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color w:val="000000" w:themeColor="text1"/>
          <w:sz w:val="32"/>
          <w:szCs w:val="32"/>
          <w14:textFill>
            <w14:solidFill>
              <w14:schemeClr w14:val="tx1"/>
            </w14:solidFill>
          </w14:textFill>
        </w:rPr>
        <w:t>住院患者VTE管理体系建立</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（一）建立医院VTE风险因子监测系统：</w:t>
      </w:r>
      <w:r>
        <w:rPr>
          <w:rFonts w:hint="eastAsia" w:ascii="仿宋_GB2312" w:hAnsi="仿宋_GB2312" w:eastAsia="仿宋_GB2312" w:cs="仿宋_GB2312"/>
          <w:sz w:val="32"/>
          <w:szCs w:val="32"/>
        </w:rPr>
        <w:t>通过电子病历系统对所有住院患者进行医护一体化的评估、预防、干预、随访及数据统计。通过信息系统,收集各种危险因素,包含客观因素(诊断、检验值、年龄、体重、手术等)及主观因素(水肿、流产等),最后系统综合两种因素进行评分及判定风险等级，通过各种分险因子的自动计算,及时提醒医护工作者,病人所处的风险等级, 对VTE风险预测及预防措施的实施起到积极有效的作用。</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（二）VTE闭环管理体系：</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VTE风险评估，外科使用 Caripini评估量表, 内科使用Pudua评估量表（表四）。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VTE风险预防 ，医生根据风险评估结果,明确预防措施,提交给护士执行。护士能够分层实施相应的VTE预防措施。</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院内VTE患者管理，当住院患者发生VTE后,科室的VTE防治专科护理联络员根据护理VTE项目组的《院内VTE上报的SOP》立即上报给VTE项目组,项目组组织核心成员进行护理会诊或者VTE疑难病例讨论。密切观察患者腿围、物理和药物措施的使用情况,严密观察患者病情进展。根据患者情况对其进行分析、追踪和随访。对所有VTE患者进行出院后的健康宣教指导,按照VTE随访流程进行及时、规律随访,将随访情况登记在回访登记表上,并定期进行随访率的分析。</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制作统一的健康宣教资料,如宣传板报、宣传单张、视频等,患者及家属在医院的公众号、在病房的宣教栏随处可以获得VTE及预防的相关知识。</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表4 内科住院患者静脉血栓栓塞症风险因素Padua评分标准</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drawing>
          <wp:inline distT="0" distB="0" distL="114300" distR="114300">
            <wp:extent cx="5271135" cy="2045970"/>
            <wp:effectExtent l="0" t="0" r="5715" b="11430"/>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6"/>
                    <a:stretch>
                      <a:fillRect/>
                    </a:stretch>
                  </pic:blipFill>
                  <pic:spPr>
                    <a:xfrm>
                      <a:off x="0" y="0"/>
                      <a:ext cx="5271135" cy="204597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 xml:space="preserve">附测试题 </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color w:val="000000" w:themeColor="text1"/>
          <w:sz w:val="32"/>
          <w:szCs w:val="32"/>
          <w14:textFill>
            <w14:solidFill>
              <w14:schemeClr w14:val="tx1"/>
            </w14:solidFill>
          </w14:textFill>
        </w:rPr>
        <w:t>以下VTE的定义中哪一个不正确的:</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b w:val="0"/>
          <w:bCs/>
          <w:color w:val="000000" w:themeColor="text1"/>
          <w:sz w:val="32"/>
          <w:szCs w:val="32"/>
          <w14:textFill>
            <w14:solidFill>
              <w14:schemeClr w14:val="tx1"/>
            </w14:solidFill>
          </w14:textFill>
        </w:rPr>
        <w:t>静脉血栓栓塞症(VTE)包括深静脉血栓形成(DVT)+肺血栓栓塞症(PTE)</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b w:val="0"/>
          <w:bCs/>
          <w:color w:val="000000" w:themeColor="text1"/>
          <w:sz w:val="32"/>
          <w:szCs w:val="32"/>
          <w14:textFill>
            <w14:solidFill>
              <w14:schemeClr w14:val="tx1"/>
            </w14:solidFill>
          </w14:textFill>
        </w:rPr>
        <w:t>深静脉血栓形成(DVT)的脱落是肺血栓栓塞症(PTE)的主要原因</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b w:val="0"/>
          <w:bCs/>
          <w:color w:val="000000" w:themeColor="text1"/>
          <w:sz w:val="32"/>
          <w:szCs w:val="32"/>
          <w14:textFill>
            <w14:solidFill>
              <w14:schemeClr w14:val="tx1"/>
            </w14:solidFill>
          </w14:textFill>
        </w:rPr>
        <w:t>PTE主要为来自静脉系统或右心的血栓阻塞肺动脉或其分支所致的疾病</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b w:val="0"/>
          <w:bCs/>
          <w:color w:val="000000" w:themeColor="text1"/>
          <w:sz w:val="32"/>
          <w:szCs w:val="32"/>
          <w14:textFill>
            <w14:solidFill>
              <w14:schemeClr w14:val="tx1"/>
            </w14:solidFill>
          </w14:textFill>
        </w:rPr>
        <w:t>静脉血栓栓塞症（VTE）是指静脉管腔内由于各种原因形成血凝块；是一种发生率和死亡率都较低的疾病</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2.以下VTE相关评估表的使用，不正确的是:</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A.</w:t>
      </w:r>
      <w:r>
        <w:rPr>
          <w:rFonts w:hint="eastAsia" w:ascii="仿宋_GB2312" w:hAnsi="仿宋_GB2312" w:eastAsia="仿宋_GB2312" w:cs="仿宋_GB2312"/>
          <w:b w:val="0"/>
          <w:bCs/>
          <w:color w:val="000000" w:themeColor="text1"/>
          <w:sz w:val="32"/>
          <w:szCs w:val="32"/>
          <w14:textFill>
            <w14:solidFill>
              <w14:schemeClr w14:val="tx1"/>
            </w14:solidFill>
          </w14:textFill>
        </w:rPr>
        <w:t>VTE的发生系十分复杂的病理、生理过程，预防性治疗前必须进行个体化评估，权衡抗凝与出血的利弊</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B.</w:t>
      </w:r>
      <w:r>
        <w:rPr>
          <w:rFonts w:hint="eastAsia" w:ascii="仿宋_GB2312" w:hAnsi="仿宋_GB2312" w:eastAsia="仿宋_GB2312" w:cs="仿宋_GB2312"/>
          <w:b w:val="0"/>
          <w:bCs/>
          <w:color w:val="000000" w:themeColor="text1"/>
          <w:sz w:val="32"/>
          <w:szCs w:val="32"/>
          <w14:textFill>
            <w14:solidFill>
              <w14:schemeClr w14:val="tx1"/>
            </w14:solidFill>
          </w14:textFill>
        </w:rPr>
        <w:t xml:space="preserve">VTE预防治疗后，仍有可能发生VTE </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C.</w:t>
      </w:r>
      <w:r>
        <w:rPr>
          <w:rFonts w:hint="eastAsia" w:ascii="仿宋_GB2312" w:hAnsi="仿宋_GB2312" w:eastAsia="仿宋_GB2312" w:cs="仿宋_GB2312"/>
          <w:b w:val="0"/>
          <w:bCs/>
          <w:color w:val="000000" w:themeColor="text1"/>
          <w:sz w:val="32"/>
          <w:szCs w:val="32"/>
          <w14:textFill>
            <w14:solidFill>
              <w14:schemeClr w14:val="tx1"/>
            </w14:solidFill>
          </w14:textFill>
        </w:rPr>
        <w:t>可以使用"Caprin评估量表"评估内科病人;使用"Padua评估量表"评估外科手术病人</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D</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可以使用"Wells- PE评估量表" 评估疑似脚动脉栓塞病人</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3.以下非药物预防方法的描述中，正确的是</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A.</w:t>
      </w:r>
      <w:r>
        <w:rPr>
          <w:rFonts w:hint="eastAsia" w:ascii="仿宋_GB2312" w:hAnsi="仿宋_GB2312" w:eastAsia="仿宋_GB2312" w:cs="仿宋_GB2312"/>
          <w:b w:val="0"/>
          <w:bCs/>
          <w:color w:val="000000" w:themeColor="text1"/>
          <w:sz w:val="32"/>
          <w:szCs w:val="32"/>
          <w14:textFill>
            <w14:solidFill>
              <w14:schemeClr w14:val="tx1"/>
            </w14:solidFill>
          </w14:textFill>
        </w:rPr>
        <w:t>活动不受限的小手术患者，仅需鼓励及早活动即可;</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B.</w:t>
      </w:r>
      <w:r>
        <w:rPr>
          <w:rFonts w:hint="eastAsia" w:ascii="仿宋_GB2312" w:hAnsi="仿宋_GB2312" w:eastAsia="仿宋_GB2312" w:cs="仿宋_GB2312"/>
          <w:b w:val="0"/>
          <w:bCs/>
          <w:color w:val="000000" w:themeColor="text1"/>
          <w:sz w:val="32"/>
          <w:szCs w:val="32"/>
          <w14:textFill>
            <w14:solidFill>
              <w14:schemeClr w14:val="tx1"/>
            </w14:solidFill>
          </w14:textFill>
        </w:rPr>
        <w:t>常规推荐使用腔静脉滤器(IVCF);</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C.</w:t>
      </w:r>
      <w:r>
        <w:rPr>
          <w:rFonts w:hint="eastAsia" w:ascii="仿宋_GB2312" w:hAnsi="仿宋_GB2312" w:eastAsia="仿宋_GB2312" w:cs="仿宋_GB2312"/>
          <w:b w:val="0"/>
          <w:bCs/>
          <w:color w:val="000000" w:themeColor="text1"/>
          <w:sz w:val="32"/>
          <w:szCs w:val="32"/>
          <w14:textFill>
            <w14:solidFill>
              <w14:schemeClr w14:val="tx1"/>
            </w14:solidFill>
          </w14:textFill>
        </w:rPr>
        <w:t xml:space="preserve">VTE预防的机械方法只有下肢静脉泵(VFP) </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D</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 xml:space="preserve">预防VTE的机械方法没有禁忌证    </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4.静脉血栓形成的主要原因不正确的是:</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A.</w:t>
      </w:r>
      <w:r>
        <w:rPr>
          <w:rFonts w:hint="eastAsia" w:ascii="仿宋_GB2312" w:hAnsi="仿宋_GB2312" w:eastAsia="仿宋_GB2312" w:cs="仿宋_GB2312"/>
          <w:b w:val="0"/>
          <w:bCs/>
          <w:color w:val="000000" w:themeColor="text1"/>
          <w:sz w:val="32"/>
          <w:szCs w:val="32"/>
          <w14:textFill>
            <w14:solidFill>
              <w14:schemeClr w14:val="tx1"/>
            </w14:solidFill>
          </w14:textFill>
        </w:rPr>
        <w:t>静脉淤血</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B.</w:t>
      </w:r>
      <w:r>
        <w:rPr>
          <w:rFonts w:hint="eastAsia" w:ascii="仿宋_GB2312" w:hAnsi="仿宋_GB2312" w:eastAsia="仿宋_GB2312" w:cs="仿宋_GB2312"/>
          <w:b w:val="0"/>
          <w:bCs/>
          <w:color w:val="000000" w:themeColor="text1"/>
          <w:sz w:val="32"/>
          <w:szCs w:val="32"/>
          <w14:textFill>
            <w14:solidFill>
              <w14:schemeClr w14:val="tx1"/>
            </w14:solidFill>
          </w14:textFill>
        </w:rPr>
        <w:t xml:space="preserve">血流减慢            </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C.</w:t>
      </w:r>
      <w:r>
        <w:rPr>
          <w:rFonts w:hint="eastAsia" w:ascii="仿宋_GB2312" w:hAnsi="仿宋_GB2312" w:eastAsia="仿宋_GB2312" w:cs="仿宋_GB2312"/>
          <w:b w:val="0"/>
          <w:bCs/>
          <w:color w:val="000000" w:themeColor="text1"/>
          <w:sz w:val="32"/>
          <w:szCs w:val="32"/>
          <w14:textFill>
            <w14:solidFill>
              <w14:schemeClr w14:val="tx1"/>
            </w14:solidFill>
          </w14:textFill>
        </w:rPr>
        <w:t>血液稀释</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14:textFill>
            <w14:solidFill>
              <w14:schemeClr w14:val="tx1"/>
            </w14:solidFill>
          </w14:textFill>
        </w:rPr>
        <w:t>D</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 xml:space="preserve">静脉壁损伤  </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5</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下肢静脉血栓形成的临床表现不正确的是:（</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A.</w:t>
      </w:r>
      <w:r>
        <w:rPr>
          <w:rFonts w:hint="eastAsia" w:ascii="仿宋_GB2312" w:hAnsi="仿宋_GB2312" w:eastAsia="仿宋_GB2312" w:cs="仿宋_GB2312"/>
          <w:b w:val="0"/>
          <w:bCs/>
          <w:color w:val="000000" w:themeColor="text1"/>
          <w:sz w:val="32"/>
          <w:szCs w:val="32"/>
          <w14:textFill>
            <w14:solidFill>
              <w14:schemeClr w14:val="tx1"/>
            </w14:solidFill>
          </w14:textFill>
        </w:rPr>
        <w:t>浅静脉曲张</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B.</w:t>
      </w:r>
      <w:r>
        <w:rPr>
          <w:rFonts w:hint="eastAsia" w:ascii="仿宋_GB2312" w:hAnsi="仿宋_GB2312" w:eastAsia="仿宋_GB2312" w:cs="仿宋_GB2312"/>
          <w:b w:val="0"/>
          <w:bCs/>
          <w:color w:val="000000" w:themeColor="text1"/>
          <w:sz w:val="32"/>
          <w:szCs w:val="32"/>
          <w14:textFill>
            <w14:solidFill>
              <w14:schemeClr w14:val="tx1"/>
            </w14:solidFill>
          </w14:textFill>
        </w:rPr>
        <w:t>患肢肢体肿胀</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C.</w:t>
      </w:r>
      <w:r>
        <w:rPr>
          <w:rFonts w:hint="eastAsia" w:ascii="仿宋_GB2312" w:hAnsi="仿宋_GB2312" w:eastAsia="仿宋_GB2312" w:cs="仿宋_GB2312"/>
          <w:b w:val="0"/>
          <w:bCs/>
          <w:color w:val="000000" w:themeColor="text1"/>
          <w:sz w:val="32"/>
          <w:szCs w:val="32"/>
          <w14:textFill>
            <w14:solidFill>
              <w14:schemeClr w14:val="tx1"/>
            </w14:solidFill>
          </w14:textFill>
        </w:rPr>
        <w:t>皮肤温度下降</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14:textFill>
            <w14:solidFill>
              <w14:schemeClr w14:val="tx1"/>
            </w14:solidFill>
          </w14:textFill>
        </w:rPr>
        <w:t>D</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股青肿和股白肿</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6.以下预防VTE的描述中，不正确的是：（</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14:textFill>
            <w14:solidFill>
              <w14:schemeClr w14:val="tx1"/>
            </w14:solidFill>
          </w14:textFill>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A.</w:t>
      </w:r>
      <w:r>
        <w:rPr>
          <w:rFonts w:hint="eastAsia" w:ascii="仿宋_GB2312" w:hAnsi="仿宋_GB2312" w:eastAsia="仿宋_GB2312" w:cs="仿宋_GB2312"/>
          <w:b w:val="0"/>
          <w:bCs/>
          <w:color w:val="000000" w:themeColor="text1"/>
          <w:sz w:val="32"/>
          <w:szCs w:val="32"/>
          <w14:textFill>
            <w14:solidFill>
              <w14:schemeClr w14:val="tx1"/>
            </w14:solidFill>
          </w14:textFill>
        </w:rPr>
        <w:t>对腹盆腔恶性肿瘤等VTE高危患者，推荐使用低分子肝素预防4周</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B.</w:t>
      </w:r>
      <w:r>
        <w:rPr>
          <w:rFonts w:hint="eastAsia" w:ascii="仿宋_GB2312" w:hAnsi="仿宋_GB2312" w:eastAsia="仿宋_GB2312" w:cs="仿宋_GB2312"/>
          <w:b w:val="0"/>
          <w:bCs/>
          <w:color w:val="000000" w:themeColor="text1"/>
          <w:sz w:val="32"/>
          <w:szCs w:val="32"/>
          <w14:textFill>
            <w14:solidFill>
              <w14:schemeClr w14:val="tx1"/>
            </w14:solidFill>
          </w14:textFill>
        </w:rPr>
        <w:t>不同的低分子肝素用于普通外科VTE预防的剂量有所不同，建议参照药品说明书给药</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C.</w:t>
      </w:r>
      <w:r>
        <w:rPr>
          <w:rFonts w:hint="eastAsia" w:ascii="仿宋_GB2312" w:hAnsi="仿宋_GB2312" w:eastAsia="仿宋_GB2312" w:cs="仿宋_GB2312"/>
          <w:b w:val="0"/>
          <w:bCs/>
          <w:color w:val="000000" w:themeColor="text1"/>
          <w:sz w:val="32"/>
          <w:szCs w:val="32"/>
          <w14:textFill>
            <w14:solidFill>
              <w14:schemeClr w14:val="tx1"/>
            </w14:solidFill>
          </w14:textFill>
        </w:rPr>
        <w:t>手术患者推荐预防7-14d或直至出院</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D</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使用预防血栓策略时无须考虑出血并发症的风险</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7</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弹力袜使用的禁忌症不正确的是</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A.</w:t>
      </w:r>
      <w:r>
        <w:rPr>
          <w:rFonts w:hint="eastAsia" w:ascii="仿宋_GB2312" w:hAnsi="仿宋_GB2312" w:eastAsia="仿宋_GB2312" w:cs="仿宋_GB2312"/>
          <w:b w:val="0"/>
          <w:bCs/>
          <w:color w:val="000000" w:themeColor="text1"/>
          <w:sz w:val="32"/>
          <w:szCs w:val="32"/>
          <w14:textFill>
            <w14:solidFill>
              <w14:schemeClr w14:val="tx1"/>
            </w14:solidFill>
          </w14:textFill>
        </w:rPr>
        <w:t xml:space="preserve">腿部局部情况异常(如皮炎、坏疽、近期接受皮肤移植手术) </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B.</w:t>
      </w:r>
      <w:r>
        <w:rPr>
          <w:rFonts w:hint="eastAsia" w:ascii="仿宋_GB2312" w:hAnsi="仿宋_GB2312" w:eastAsia="仿宋_GB2312" w:cs="仿宋_GB2312"/>
          <w:b w:val="0"/>
          <w:bCs/>
          <w:color w:val="000000" w:themeColor="text1"/>
          <w:sz w:val="32"/>
          <w:szCs w:val="32"/>
          <w14:textFill>
            <w14:solidFill>
              <w14:schemeClr w14:val="tx1"/>
            </w14:solidFill>
          </w14:textFill>
        </w:rPr>
        <w:t>患肢大的开放或引流伤口</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C.</w:t>
      </w:r>
      <w:r>
        <w:rPr>
          <w:rFonts w:hint="eastAsia" w:ascii="仿宋_GB2312" w:hAnsi="仿宋_GB2312" w:eastAsia="仿宋_GB2312" w:cs="仿宋_GB2312"/>
          <w:b w:val="0"/>
          <w:bCs/>
          <w:color w:val="000000" w:themeColor="text1"/>
          <w:sz w:val="32"/>
          <w:szCs w:val="32"/>
          <w14:textFill>
            <w14:solidFill>
              <w14:schemeClr w14:val="tx1"/>
            </w14:solidFill>
          </w14:textFill>
        </w:rPr>
        <w:t>腿部严重水肿</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D</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下肢静脉曲张</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8</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关于肺血栓栓塞症（PTE）的描述,不正确的是:（</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A.</w:t>
      </w:r>
      <w:r>
        <w:rPr>
          <w:rFonts w:hint="eastAsia" w:ascii="仿宋_GB2312" w:hAnsi="仿宋_GB2312" w:eastAsia="仿宋_GB2312" w:cs="仿宋_GB2312"/>
          <w:b w:val="0"/>
          <w:bCs/>
          <w:color w:val="000000" w:themeColor="text1"/>
          <w:sz w:val="32"/>
          <w:szCs w:val="32"/>
          <w14:textFill>
            <w14:solidFill>
              <w14:schemeClr w14:val="tx1"/>
            </w14:solidFill>
          </w14:textFill>
        </w:rPr>
        <w:t>常表现为呼吸困难、胸闷、胸痛，严重时可发生低血压休克甚至猝死。</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B.</w:t>
      </w:r>
      <w:r>
        <w:rPr>
          <w:rFonts w:hint="eastAsia" w:ascii="仿宋_GB2312" w:hAnsi="仿宋_GB2312" w:eastAsia="仿宋_GB2312" w:cs="仿宋_GB2312"/>
          <w:b w:val="0"/>
          <w:bCs/>
          <w:color w:val="000000" w:themeColor="text1"/>
          <w:sz w:val="32"/>
          <w:szCs w:val="32"/>
          <w14:textFill>
            <w14:solidFill>
              <w14:schemeClr w14:val="tx1"/>
            </w14:solidFill>
          </w14:textFill>
        </w:rPr>
        <w:t>发生于腘静脉以上的近端DVT是PTE栓子的重要来源。</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C.</w:t>
      </w:r>
      <w:r>
        <w:rPr>
          <w:rFonts w:hint="eastAsia" w:ascii="仿宋_GB2312" w:hAnsi="仿宋_GB2312" w:eastAsia="仿宋_GB2312" w:cs="仿宋_GB2312"/>
          <w:b w:val="0"/>
          <w:bCs/>
          <w:color w:val="000000" w:themeColor="text1"/>
          <w:sz w:val="32"/>
          <w:szCs w:val="32"/>
          <w14:textFill>
            <w14:solidFill>
              <w14:schemeClr w14:val="tx1"/>
            </w14:solidFill>
          </w14:textFill>
        </w:rPr>
        <w:t>D-二聚体检测只要阴性， 就基本可以排除肺栓塞;</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D</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是指来自静脉系统或右心的血栓阻塞肺动脉或其分支所致疾病</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9.以下对普通外科静脉血栓栓塞症（VTE）患者术前预防措施的描述，正确的是</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A.</w:t>
      </w:r>
      <w:r>
        <w:rPr>
          <w:rFonts w:hint="eastAsia" w:ascii="仿宋_GB2312" w:hAnsi="仿宋_GB2312" w:eastAsia="仿宋_GB2312" w:cs="仿宋_GB2312"/>
          <w:b w:val="0"/>
          <w:bCs/>
          <w:color w:val="000000" w:themeColor="text1"/>
          <w:sz w:val="32"/>
          <w:szCs w:val="32"/>
          <w14:textFill>
            <w14:solidFill>
              <w14:schemeClr w14:val="tx1"/>
            </w14:solidFill>
          </w14:textFill>
        </w:rPr>
        <w:t>风险等级为极低风险的，预防措施为早期活动，无需使用机械或药物抗凝措施</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B.</w:t>
      </w:r>
      <w:r>
        <w:rPr>
          <w:rFonts w:hint="eastAsia" w:ascii="仿宋_GB2312" w:hAnsi="仿宋_GB2312" w:eastAsia="仿宋_GB2312" w:cs="仿宋_GB2312"/>
          <w:b w:val="0"/>
          <w:bCs/>
          <w:color w:val="000000" w:themeColor="text1"/>
          <w:sz w:val="32"/>
          <w:szCs w:val="32"/>
          <w14:textFill>
            <w14:solidFill>
              <w14:schemeClr w14:val="tx1"/>
            </w14:solidFill>
          </w14:textFill>
        </w:rPr>
        <w:t>风险等级为低风险的，预防措施为低分子肝素</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C.</w:t>
      </w:r>
      <w:r>
        <w:rPr>
          <w:rFonts w:hint="eastAsia" w:ascii="仿宋_GB2312" w:hAnsi="仿宋_GB2312" w:eastAsia="仿宋_GB2312" w:cs="仿宋_GB2312"/>
          <w:b w:val="0"/>
          <w:bCs/>
          <w:color w:val="000000" w:themeColor="text1"/>
          <w:sz w:val="32"/>
          <w:szCs w:val="32"/>
          <w14:textFill>
            <w14:solidFill>
              <w14:schemeClr w14:val="tx1"/>
            </w14:solidFill>
          </w14:textFill>
        </w:rPr>
        <w:t>风险等级为高风险伴高出血风险的，预防措施为小剂量阿司匹林。</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D</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风险等级为中等风险伴高出血风险的，预防措施为低分子肝素</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10</w:t>
      </w:r>
      <w:r>
        <w:rPr>
          <w:rFonts w:hint="eastAsia" w:ascii="仿宋_GB2312" w:hAnsi="仿宋_GB2312" w:eastAsia="仿宋_GB2312" w:cs="仿宋_GB2312"/>
          <w:b w:val="0"/>
          <w:bCs/>
          <w:sz w:val="32"/>
          <w:szCs w:val="32"/>
          <w:lang w:val="en-US" w:eastAsia="zh-CN"/>
        </w:rPr>
        <w:t>.</w:t>
      </w:r>
      <w:r>
        <w:rPr>
          <w:rFonts w:hint="eastAsia" w:ascii="仿宋_GB2312" w:hAnsi="仿宋_GB2312" w:eastAsia="仿宋_GB2312" w:cs="仿宋_GB2312"/>
          <w:b w:val="0"/>
          <w:bCs/>
          <w:sz w:val="32"/>
          <w:szCs w:val="32"/>
        </w:rPr>
        <w:t>静脉血栓栓塞症抗凝治疗方案，正确的是：（</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A.</w:t>
      </w:r>
      <w:r>
        <w:rPr>
          <w:rFonts w:hint="eastAsia" w:ascii="仿宋_GB2312" w:hAnsi="仿宋_GB2312" w:eastAsia="仿宋_GB2312" w:cs="仿宋_GB2312"/>
          <w:b w:val="0"/>
          <w:bCs/>
          <w:color w:val="000000" w:themeColor="text1"/>
          <w:sz w:val="32"/>
          <w:szCs w:val="32"/>
          <w14:textFill>
            <w14:solidFill>
              <w14:schemeClr w14:val="tx1"/>
            </w14:solidFill>
          </w14:textFill>
        </w:rPr>
        <w:t>非肿瘤相关的 PTE患者可以考虑使用华法林或低分子肝素</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B.</w:t>
      </w:r>
      <w:r>
        <w:rPr>
          <w:rFonts w:hint="eastAsia" w:ascii="仿宋_GB2312" w:hAnsi="仿宋_GB2312" w:eastAsia="仿宋_GB2312" w:cs="仿宋_GB2312"/>
          <w:b w:val="0"/>
          <w:bCs/>
          <w:color w:val="000000" w:themeColor="text1"/>
          <w:sz w:val="32"/>
          <w:szCs w:val="32"/>
          <w14:textFill>
            <w14:solidFill>
              <w14:schemeClr w14:val="tx1"/>
            </w14:solidFill>
          </w14:textFill>
        </w:rPr>
        <w:t>肿瘤相关的 PTE患者建议使用低分子肝素</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C.</w:t>
      </w:r>
      <w:r>
        <w:rPr>
          <w:rFonts w:hint="eastAsia" w:ascii="仿宋_GB2312" w:hAnsi="仿宋_GB2312" w:eastAsia="仿宋_GB2312" w:cs="仿宋_GB2312"/>
          <w:b w:val="0"/>
          <w:bCs/>
          <w:color w:val="000000" w:themeColor="text1"/>
          <w:sz w:val="32"/>
          <w:szCs w:val="32"/>
          <w14:textFill>
            <w14:solidFill>
              <w14:schemeClr w14:val="tx1"/>
            </w14:solidFill>
          </w14:textFill>
        </w:rPr>
        <w:t>肿瘤相关的 VTE 患者需制定详细的治疗及停药计划</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D</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用药直至患者恢复活动或出院即可</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val="0"/>
          <w:bCs/>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sz w:val="24"/>
                              <w:szCs w:val="24"/>
                            </w:rPr>
                            <w:id w:val="184319394"/>
                          </w:sdtPr>
                          <w:sdtEndPr>
                            <w:rPr>
                              <w:rFonts w:hint="default" w:ascii="Times New Roman" w:hAnsi="Times New Roman" w:cs="Times New Roman"/>
                              <w:sz w:val="24"/>
                              <w:szCs w:val="24"/>
                            </w:rPr>
                          </w:sdtEndPr>
                          <w:sdtContent>
                            <w:p>
                              <w:pPr>
                                <w:pStyle w:val="2"/>
                                <w:jc w:val="center"/>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zh-CN"/>
                                </w:rPr>
                                <w:t>8</w:t>
                              </w:r>
                              <w:r>
                                <w:rPr>
                                  <w:rFonts w:hint="default" w:ascii="Times New Roman" w:hAnsi="Times New Roman" w:cs="Times New Roman"/>
                                  <w:sz w:val="24"/>
                                  <w:szCs w:val="24"/>
                                  <w:lang w:val="zh-CN"/>
                                </w:rPr>
                                <w:fldChar w:fldCharType="end"/>
                              </w:r>
                            </w:p>
                          </w:sdtContent>
                        </w:sdt>
                        <w:p>
                          <w:pPr>
                            <w:rPr>
                              <w:rFonts w:hint="default" w:ascii="Times New Roman" w:hAnsi="Times New Roman" w:cs="Times New Roman"/>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nxk/CAgAA1gUAAA4AAABkcnMvZTJvRG9jLnhtbK1UzY7TMBC+I/EO&#10;lu/ZJG22m1abrrrNBiFV7EoL4uw6ThPh2Jbt/iyIK7wBJy7cea59DsZO0+4uCCEgB2fsGc/PN+Pv&#10;/GLXcrRh2jRSZDg+iTBigsqyEasMv3ldBClGxhJREi4Fy/AdM/hi+vzZ+VZN2EDWkpdMI3AizGSr&#10;MlxbqyZhaGjNWmJOpGIClJXULbGw1auw1GQL3lseDqJoFG6lLpWWlBkDp3mnxFPvv6oYtddVZZhF&#10;PMOQm/Wr9uvSreH0nExWmqi6ofs0yF9k0ZJGQNCDq5xYgta6+clV21AtjazsCZVtKKuqoczXANXE&#10;0ZNqbmuimK8FwDHqAJP5f27pq82NRk2Z4SFGgrTQovsvn++/fr//9gkNHTxbZSZgdavAzu4u5Q7a&#10;3J8bOHRV7yrduj/Ug0APQN8dwGU7i6i7lA7SNAIVBV2/Af/h8brSxr5gskVOyLCG7nlQyWZhbGfa&#10;m7hoQhYN576DXKBthkfD08hfOGjAORfOFrIAH3up68yHcTS+Sq/SJEgGo6sgifI8mBXzJBgV8dlp&#10;Pszn8zz+6PzFyaRuypIJF6+fkjj5sy7s57Xr72FOjORN6dy5lIxeLedcow2BKS385xCG5B+YhY/T&#10;8Gqo6klJ8SCJLgfjoBilZ0FSJKfB+CxKgygeX45HUTJO8uJxSYtGsH8v6RH6D5ImE9ewQ21LTui7&#10;35bm0jmWBgj0jQvdHHbz5iS7W+4AIicuZXkHs6ll97iNokUDQRfE2Bui4TXDzAFD2WtYKi5hTuRe&#10;wqiW+v2vzp09tBe0GG2BHTIsgL4w4i8FPD5HJL2ge2HZC2LdziU0MgbmU9SLcEFb3ouVlu1boK2Z&#10;iwEqIihEyrDtxbntGApoj7LZzButlW5WdXcBqEMRuxC3irowfoTUbG3hPfhnckQFoHQbIA8P6p7o&#10;HDs93HurIx1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ufGT8ICAADWBQAADgAAAAAA&#10;AAABACAAAAAfAQAAZHJzL2Uyb0RvYy54bWxQSwUGAAAAAAYABgBZAQAAUwYAAAAA&#10;">
              <v:fill on="f" focussize="0,0"/>
              <v:stroke on="f" weight="0.5pt"/>
              <v:imagedata o:title=""/>
              <o:lock v:ext="edit" aspectratio="f"/>
              <v:textbox inset="0mm,0mm,0mm,0mm" style="mso-fit-shape-to-text:t;">
                <w:txbxContent>
                  <w:sdt>
                    <w:sdtPr>
                      <w:rPr>
                        <w:rFonts w:hint="default" w:ascii="Times New Roman" w:hAnsi="Times New Roman" w:cs="Times New Roman"/>
                        <w:sz w:val="24"/>
                        <w:szCs w:val="24"/>
                      </w:rPr>
                      <w:id w:val="184319394"/>
                    </w:sdtPr>
                    <w:sdtEndPr>
                      <w:rPr>
                        <w:rFonts w:hint="default" w:ascii="Times New Roman" w:hAnsi="Times New Roman" w:cs="Times New Roman"/>
                        <w:sz w:val="24"/>
                        <w:szCs w:val="24"/>
                      </w:rPr>
                    </w:sdtEndPr>
                    <w:sdtContent>
                      <w:p>
                        <w:pPr>
                          <w:pStyle w:val="2"/>
                          <w:jc w:val="center"/>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zh-CN"/>
                          </w:rPr>
                          <w:t>8</w:t>
                        </w:r>
                        <w:r>
                          <w:rPr>
                            <w:rFonts w:hint="default" w:ascii="Times New Roman" w:hAnsi="Times New Roman" w:cs="Times New Roman"/>
                            <w:sz w:val="24"/>
                            <w:szCs w:val="24"/>
                            <w:lang w:val="zh-CN"/>
                          </w:rPr>
                          <w:fldChar w:fldCharType="end"/>
                        </w:r>
                      </w:p>
                    </w:sdtContent>
                  </w:sdt>
                  <w:p>
                    <w:pPr>
                      <w:rPr>
                        <w:rFonts w:hint="default" w:ascii="Times New Roman" w:hAnsi="Times New Roman" w:cs="Times New Roman"/>
                        <w:sz w:val="24"/>
                        <w:szCs w:val="24"/>
                      </w:rPr>
                    </w:pP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007940"/>
    <w:rsid w:val="11007940"/>
    <w:rsid w:val="2D826366"/>
    <w:rsid w:val="3FAE381C"/>
    <w:rsid w:val="7C5C50A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table" w:styleId="5">
    <w:name w:val="Table Grid"/>
    <w:basedOn w:val="4"/>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2021-03-31T06:49:00Z</dcterms:created>
  <dc:creator>user</dc:creator>
  <cp:lastModifiedBy>user</cp:lastModifiedBy>
  <dcterms:modified xsi:type="dcterms:W3CDTF">2021-04-01T08:00:06Z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